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1e3a5f"/>
          <w:sz w:val="32"/>
          <w:szCs w:val="32"/>
        </w:rPr>
        <w:t xml:space="preserve">Jane Smith</w:t>
      </w:r>
    </w:p>
    <w:p>
      <w:pPr>
        <w:pBdr>
          <w:bottom w:val="single" w:color="1e3a5f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jane.smith@email.com | (555) 123-4567 | Austin, TX | linkedin.com/in/janesmith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color w:val="334155"/>
          <w:sz w:val="20"/>
          <w:szCs w:val="20"/>
        </w:rPr>
        <w:t xml:space="preserve">Senior Product Manager with 9 years shipping B2B SaaS products from 0-to-1 through scale. Led roadmap for a $40M ARR analytics platform, grew activation 31% and cut churn 18% through experimentation programs across 3 cross-functional squads.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EXPERIENCE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Senior Product Manager</w:t>
      </w:r>
      <w:r>
        <w:rPr>
          <w:color w:val="1e3a5f"/>
          <w:sz w:val="18"/>
          <w:szCs w:val="18"/>
        </w:rPr>
        <w:t xml:space="preserve">  |  Mar 2020 – Present</w:t>
      </w:r>
    </w:p>
    <w:p>
      <w:r>
        <w:rPr>
          <w:color w:val="64748b"/>
          <w:sz w:val="18"/>
          <w:szCs w:val="18"/>
        </w:rPr>
        <w:t xml:space="preserve">DataCo, Austin TX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Led roadmap and launch of self-serve analytics tier, generating $6.2M new ARR in 12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Increased trial-to-paid conversion 31% by redesigning onboarding using 40+ A/B tests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Reduced enterprise churn 18% by building a usage-health scoring model with data science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Managed 3 squads (14 engineers, 2 designers) using dual-track agile and OKRs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Defined pricing and packaging strategy adopted across 4 product lines</w:t>
      </w:r>
    </w:p>
    <w:p>
      <w:pPr>
        <w:spacing w:before="100"/>
      </w:pPr>
      <w:r>
        <w:rPr>
          <w:b/>
          <w:bCs/>
          <w:sz w:val="20"/>
          <w:szCs w:val="20"/>
        </w:rPr>
        <w:t xml:space="preserve">Product Manager</w:t>
      </w:r>
      <w:r>
        <w:rPr>
          <w:color w:val="1e3a5f"/>
          <w:sz w:val="18"/>
          <w:szCs w:val="18"/>
        </w:rPr>
        <w:t xml:space="preserve">  |  Jun 2016 – Feb 2020</w:t>
      </w:r>
    </w:p>
    <w:p>
      <w:r>
        <w:rPr>
          <w:color w:val="64748b"/>
          <w:sz w:val="18"/>
          <w:szCs w:val="18"/>
        </w:rPr>
        <w:t xml:space="preserve">CloudSoft, Denver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Launched API platform used by 1,200+ customers; grew integrations 4x in 18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Delivered SOC 2 compliance roadmap on schedule, unlocking $3M enterprise pipeline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Built customer discovery program with 150+ interviews shaping 2 annual roadmaps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9"/>
          <w:szCs w:val="19"/>
        </w:rPr>
        <w:t xml:space="preserve">Improved NPS from 24 to 47 by prioritizing top 10 support-driven defects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SKILLS</w:t>
      </w:r>
    </w:p>
    <w:p>
      <w:r>
        <w:rPr>
          <w:color w:val="334155"/>
          <w:sz w:val="20"/>
          <w:szCs w:val="20"/>
        </w:rPr>
        <w:t xml:space="preserve">Product Strategy · Roadmapping · A/B Testing · SQL · Amplitude · Mixpanel · Jira · Figma · Agile/Scrum · OKRs · Pricing · Go-to-Market · Stakeholder Management · Data Analysis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EDUCATION</w:t>
      </w:r>
    </w:p>
    <w:p>
      <w:r>
        <w:rPr>
          <w:b/>
          <w:bCs/>
          <w:sz w:val="20"/>
          <w:szCs w:val="20"/>
        </w:rPr>
        <w:t xml:space="preserve">MBA</w:t>
      </w:r>
      <w:r>
        <w:rPr>
          <w:color w:val="64748b"/>
          <w:sz w:val="18"/>
          <w:szCs w:val="18"/>
        </w:rPr>
        <w:t xml:space="preserve"> — University of Texas at Austin (May 2016)</w:t>
      </w:r>
    </w:p>
    <w:p>
      <w:r>
        <w:rPr>
          <w:b/>
          <w:bCs/>
          <w:sz w:val="20"/>
          <w:szCs w:val="20"/>
        </w:rPr>
        <w:t xml:space="preserve">BS Computer Science</w:t>
      </w:r>
      <w:r>
        <w:rPr>
          <w:color w:val="64748b"/>
          <w:sz w:val="18"/>
          <w:szCs w:val="18"/>
        </w:rPr>
        <w:t xml:space="preserve"> — Colorado State University (May 2012)</w:t>
      </w:r>
    </w:p>
    <w:p>
      <w:pPr>
        <w:pStyle w:val="Heading2"/>
        <w:pBdr>
          <w:bottom w:val="single" w:color="1e3a5f" w:sz="1"/>
        </w:pBdr>
        <w:spacing w:after="100" w:before="300"/>
      </w:pPr>
      <w:r>
        <w:rPr>
          <w:b/>
          <w:bCs/>
          <w:color w:val="1e3a5f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Certified Scrum Product Owner (CSPO)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9"/>
          <w:szCs w:val="19"/>
        </w:rPr>
        <w:t xml:space="preserve">Pragmatic Institute PMC-III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2026-10-21T12:08:14.354Z</dcterms:created>
  <dcterms:modified xsi:type="dcterms:W3CDTF">2026-10-21T12:08:14.354Z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